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90" w:rsidRPr="00B80213" w:rsidRDefault="009F6E90" w:rsidP="009F6E90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МУНИЦИПАЛЬНЫЙ КОНТРАКТ №</w:t>
      </w:r>
      <w:r w:rsidRPr="00B802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0C5F" w:rsidRPr="006A0C5F">
        <w:rPr>
          <w:rFonts w:ascii="Times New Roman" w:eastAsia="Times New Roman" w:hAnsi="Times New Roman" w:cs="Times New Roman"/>
          <w:sz w:val="20"/>
          <w:szCs w:val="20"/>
          <w:lang w:eastAsia="ru-RU"/>
        </w:rPr>
        <w:t>0107300015814000028-0103950-02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"/>
        <w:gridCol w:w="8810"/>
      </w:tblGrid>
      <w:tr w:rsidR="009F6E90" w:rsidRPr="00B80213" w:rsidTr="008404C5">
        <w:tc>
          <w:tcPr>
            <w:tcW w:w="926" w:type="dxa"/>
            <w:shd w:val="clear" w:color="auto" w:fill="auto"/>
          </w:tcPr>
          <w:p w:rsidR="009F6E90" w:rsidRPr="00B80213" w:rsidRDefault="009F6E90" w:rsidP="008404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5" w:type="dxa"/>
            <w:shd w:val="clear" w:color="auto" w:fill="auto"/>
          </w:tcPr>
          <w:p w:rsidR="009F6E90" w:rsidRPr="00B80213" w:rsidRDefault="009F6E90" w:rsidP="008404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0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 выполнение работ по переводу из нежилого помещения </w:t>
            </w:r>
            <w:proofErr w:type="gramStart"/>
            <w:r w:rsidRPr="00B80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80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жилое</w:t>
            </w:r>
          </w:p>
          <w:p w:rsidR="009F6E90" w:rsidRPr="00B80213" w:rsidRDefault="009F6E90" w:rsidP="008404C5">
            <w:pPr>
              <w:tabs>
                <w:tab w:val="right" w:pos="9923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E90" w:rsidRPr="00B80213" w:rsidRDefault="009F6E90" w:rsidP="008404C5">
            <w:pPr>
              <w:tabs>
                <w:tab w:val="right" w:pos="9923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right" w:pos="9923"/>
              </w:tabs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г. Микунь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«___»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января 2015 года</w:t>
            </w: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____ 2014 г.</w:t>
            </w:r>
          </w:p>
          <w:p w:rsidR="009F6E90" w:rsidRPr="00B80213" w:rsidRDefault="009F6E90" w:rsidP="008404C5">
            <w:pPr>
              <w:spacing w:line="252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«Микунь»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именуем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Заказчик, в лице 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администрации поселения </w:t>
            </w:r>
            <w:proofErr w:type="spellStart"/>
            <w:r w:rsidR="00E72EEC">
              <w:rPr>
                <w:rFonts w:ascii="Times New Roman" w:hAnsi="Times New Roman" w:cs="Times New Roman"/>
                <w:sz w:val="20"/>
                <w:szCs w:val="20"/>
              </w:rPr>
              <w:t>Розмысло</w:t>
            </w:r>
            <w:proofErr w:type="spellEnd"/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 Аркадьевича,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на основании 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Устава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, с одной стороны, и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с ограниченной ответственностью «</w:t>
            </w:r>
            <w:proofErr w:type="spellStart"/>
            <w:r w:rsidR="00E72EEC">
              <w:rPr>
                <w:rFonts w:ascii="Times New Roman" w:hAnsi="Times New Roman" w:cs="Times New Roman"/>
                <w:sz w:val="20"/>
                <w:szCs w:val="20"/>
              </w:rPr>
              <w:t>АртСиТи</w:t>
            </w:r>
            <w:proofErr w:type="spellEnd"/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, именуемое в дальнейшем Подрядчик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, в лице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</w:t>
            </w:r>
            <w:proofErr w:type="spellStart"/>
            <w:r w:rsidR="00E72EEC">
              <w:rPr>
                <w:rFonts w:ascii="Times New Roman" w:hAnsi="Times New Roman" w:cs="Times New Roman"/>
                <w:sz w:val="20"/>
                <w:szCs w:val="20"/>
              </w:rPr>
              <w:t>Рольгейзер</w:t>
            </w:r>
            <w:proofErr w:type="spellEnd"/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Марины Александровны ,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на основании 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Устава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, с другой стороны, вместе именуемые Стороны,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заключили по итогам проведения аукциона в электронной форме (протокол от «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2015года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) настоящий муниципальный контракт (далее - Контракт) о нижеследующем:</w:t>
            </w:r>
          </w:p>
          <w:p w:rsidR="009F6E90" w:rsidRPr="00B80213" w:rsidRDefault="009F6E90" w:rsidP="008404C5">
            <w:pPr>
              <w:spacing w:before="360"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1. Предмет Контракта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По настоящему Контракту Стороны принимают на себя исполнение следующих обязательств: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обязуется в период действия настоящего Контракта выполнить работы по переводу нежилого помещения в </w:t>
            </w:r>
            <w:proofErr w:type="gram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proofErr w:type="gram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расположенного по адресу: Республика Коми, </w:t>
            </w:r>
            <w:proofErr w:type="spell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</w:t>
            </w:r>
            <w:proofErr w:type="spell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икунь</w:t>
            </w:r>
            <w:proofErr w:type="spell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21 согласно  утвержденной сметной документации.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обязуется оплачивать выполненные работы. 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1.2. Начало выполнения работ  –</w:t>
            </w:r>
            <w:r w:rsidRPr="00B8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B80213">
              <w:rPr>
                <w:rFonts w:ascii="Times New Roman" w:hAnsi="Times New Roman" w:cs="Times New Roman"/>
                <w:bCs/>
                <w:sz w:val="20"/>
                <w:szCs w:val="20"/>
              </w:rPr>
              <w:t>с даты подписания</w:t>
            </w:r>
            <w:proofErr w:type="gramEnd"/>
            <w:r w:rsidRPr="00B80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контракта, окончание выполнения работ-  15 марта 2015 года.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Подрядчик вправе выполнить работы досрочно.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работ.</w:t>
            </w:r>
          </w:p>
          <w:p w:rsidR="009F6E90" w:rsidRPr="00E72EEC" w:rsidRDefault="009F6E90" w:rsidP="00E72EEC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F66DF0" w:rsidRPr="00DC2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DF0" w:rsidRPr="00F66DF0">
              <w:rPr>
                <w:rFonts w:ascii="Times New Roman" w:hAnsi="Times New Roman" w:cs="Times New Roman"/>
                <w:sz w:val="20"/>
                <w:szCs w:val="20"/>
              </w:rPr>
              <w:t>Стоимость (цена) поручаемых Подрядчику работ по настоящему Контракту составляет 1342481 (один миллион триста сорок две тысячи четыреста восемьдесят один) рубль 40 копеек б</w:t>
            </w:r>
            <w:bookmarkStart w:id="0" w:name="_GoBack"/>
            <w:bookmarkEnd w:id="0"/>
            <w:r w:rsidR="00F66DF0" w:rsidRPr="00F66DF0">
              <w:rPr>
                <w:rFonts w:ascii="Times New Roman" w:hAnsi="Times New Roman" w:cs="Times New Roman"/>
                <w:sz w:val="20"/>
                <w:szCs w:val="20"/>
              </w:rPr>
              <w:t>ез НДС.</w:t>
            </w:r>
            <w:r w:rsidR="00F66DF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F66DF0">
              <w:rPr>
                <w:rFonts w:ascii="Times New Roman" w:hAnsi="Times New Roman" w:cs="Times New Roman"/>
                <w:sz w:val="20"/>
                <w:szCs w:val="20"/>
              </w:rPr>
              <w:t>В цену контракта включены все расходы на выполнение работ, материалы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, изделия, страхование, перевозку, уплату таможенных пошлин, налогов, сборов и других обязательных платежей, а также прочие расходы и налоги, которые в соответствии </w:t>
            </w:r>
            <w:r w:rsidRPr="00B80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контракта и  действующим законодательством Российской Федерации должен уплачивать Победитель аукциона или участник аукциона, с которым заключается муниципальный контракт, при выполнении контракта.</w:t>
            </w:r>
            <w:proofErr w:type="gramEnd"/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Цена Контракта является </w:t>
            </w:r>
            <w:r w:rsidRPr="00B802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твердой и определяется на весь срок исполнения Контракта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2.3.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num" w:pos="826"/>
              </w:tabs>
              <w:spacing w:before="360"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3. Порядок расчетов.</w:t>
            </w:r>
          </w:p>
          <w:p w:rsidR="009F6E90" w:rsidRPr="00B80213" w:rsidRDefault="009F6E90" w:rsidP="008404C5">
            <w:pPr>
              <w:tabs>
                <w:tab w:val="num" w:pos="826"/>
              </w:tabs>
              <w:spacing w:before="360"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3.1. Оплата по настоящему Контракту производится за счет средств бюджета муниципального образования «Микунь» путем безналичного перечисления денежных средств на расчетный счет Подрядчика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Заказчик перечисляет аванс в размере не более 30 процентов от цены контракта в течени</w:t>
            </w:r>
            <w:proofErr w:type="gramStart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рабочих дней после подписания контракта, на основании выставленного счета.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3.2. Оплата за фактически выполненные работы производится Заказчиком Подрядчику на основании выставленных Подрядчиком счетов, накладных, актов приемки выполненных работ по форме КС-2, справок о стоимости выполненных работ и затрат по форме КС-3 в течение 10 банковских дней после подписания вышеуказанных документов. 3.3. При обнаружении ошибок в предъявленных выполненных работах, в том числе арифметических или конструктивных изменений, не согласованных в установленном порядке, Заказчик, поставив в известность Подрядчика, производит снятие этих работ в одностороннем порядке.</w:t>
            </w:r>
          </w:p>
          <w:p w:rsidR="009F6E90" w:rsidRPr="00B80213" w:rsidRDefault="009F6E90" w:rsidP="008404C5">
            <w:pPr>
              <w:widowControl w:val="0"/>
              <w:tabs>
                <w:tab w:val="num" w:pos="826"/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3.4. В случае неисполнения или ненадлежащего  исполнения </w:t>
            </w:r>
            <w:proofErr w:type="gram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Подрядчиком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принятым по настоящему контракту обязательств, Заказчик вправе производить оплату отдельных этапов выполнения работ по настоящему контракту за вычетом размера неустойки (штрафа, пени) на основании соответствующего акта, в котором указывается сумма, подлежащая оплате; размер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неустойки (штрафа, пени), подлежащей уплате Подрядчиком; основания и порядок расчета неустойки (штрафа, пени); итоговая сумма, подлежащая оплате Подрядчику по настоящему контракту.</w:t>
            </w:r>
          </w:p>
          <w:p w:rsidR="009F6E90" w:rsidRDefault="009F6E90" w:rsidP="008404C5">
            <w:pPr>
              <w:spacing w:before="360"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4. Порядок сдачи-приемки выполненных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F6E90" w:rsidRPr="00B80213" w:rsidRDefault="009F6E90" w:rsidP="008404C5">
            <w:pPr>
              <w:spacing w:before="360"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4.1. Заказчик лично либо через своего представителя осуществляет приемку выполненных работ в соответствии с промежуточными сроками (этапами) на основании актов выполненных работ по форме КС-2, справки</w:t>
            </w:r>
            <w:r w:rsidRPr="00B802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о стоимости выполненных работ и затрат по форме КС-3, накладных на оборудование, предоставленных Подрядчиком. 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4.2. В случае обнаружения недостатков в работе при ее приемке, Заказчик указывает данные об обнаруженных недостатках в акте приемки выполненных работ и немедленно уведомляет об этом Подрядчика.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4.3. В случае обнаружения недостатков в работе после приемки работы, которые не могли быть установлены при обычном способе приемки (скрытые недостатки), в том числе такие, которые были умышленно скрыты Подрядчиком, Заказчик обязан известить об этом Подрядчика в течение 14 дней с момента обнаружения недостатков.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4.4. Приемка объекта осуществляется после выполнения сторонами обязательств, которые в соответствии с настоящим Контрактом должны быть выполнены сторонами к моменту завершения работ.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4.5. Окончательная приемка осуществляется Заказчиком в течение 5 (пяти) дней после получения Заказчиком письменного извещения Подрядчика о готовности Объекта. Акт приемки выполненных работ утверждается в установленном порядке.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сторон.</w:t>
            </w:r>
          </w:p>
          <w:p w:rsidR="009F6E90" w:rsidRPr="00B80213" w:rsidRDefault="009F6E90" w:rsidP="008404C5">
            <w:pPr>
              <w:pStyle w:val="a3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За неисполнение или ненадлежащее исполнение обязательств по настоящему Контракту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и Заказчик несут ответственность в соответствии с законодательством Российской Федерации.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случае просрочки Заказчиком оплаты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вправе потребовать уплаты пеней </w:t>
            </w:r>
            <w:proofErr w:type="gram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в размере одной трехсотой действующей на день уплаты неустойки ставки рефинансирования ЦБ РФ от неуплаченной в срок суммы за каждый день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просрочки.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5.3. В случае нарушения Исполнителем начального или конечного срока оказания услуг Заказчик вправе потребовать уплаты пеней в размере одной трехсотой действующей на день уплаты неустойки ставки рефинансирования ЦБ РФ от цены Контракта, уменьшенной на сумму, пропорциональную объему услуг, предусмотренных Контрактом и фактически оказанных Исполнителем, за каждый день просрочки.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качество выполненных работ.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5.4.1.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случае если у Заказчика возникнут обоснованные претензии к качеству выполненных работ, Подрядчик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proofErr w:type="spellEnd"/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рассмотреть Претензию Заказчика в течение 15 (Пятнадцать) дней с момента ее получения. В случае признания Претензии обоснованной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обязан устранить недостатки в разумный срок. В случае </w:t>
            </w:r>
            <w:proofErr w:type="spell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неустранения</w:t>
            </w:r>
            <w:proofErr w:type="spell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недостатков в указанный срок Заказчик будет вправе потребовать выплаты исключительной неустойки (штрафа) в пределах сумм, перечисленных Заказчиком за работы и/или досрочного расторжения настоящего Контракта путем составления дополнительной Претензии. Подрядчик  обязуется в течение 15 (Пятнадцать) дней с момента получения дополнительной Претензии ответить на нее официальным письмом. В случае признания дополнительной Претензии Заказчика обоснованной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обязан в зависимости от требований Заказчика перечислить Заказчику исключительную неустойку (штраф) и/или расторгнуть настоящий Контракт.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/>
                <w:b/>
                <w:sz w:val="20"/>
                <w:szCs w:val="20"/>
              </w:rPr>
              <w:t>Обеспечение исполнения Контракта.</w:t>
            </w:r>
          </w:p>
          <w:p w:rsidR="009F6E90" w:rsidRPr="00B80213" w:rsidRDefault="009F6E90" w:rsidP="008404C5">
            <w:pPr>
              <w:pStyle w:val="a3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6.1. В целях обеспечения исполнения обязательств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по своему выбору обязуется оформить и представить Заказчику на весь срок действия настоящего Контракта безотзывную банковскую гарантию, или передать Заказчику в залог денежные средства в размере указанном в п. 6.3. Контракта (далее - обеспечение исполнения настоящего Контракта).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6.2. Настоящий Контракт может быть заключен только после предоставления Исполнителем обеспечения исполнения Контракта по указанным в п. 6.1 способам.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предоставляемые Исполнителем по выбранному способу обеспечения Контракта,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соответствовать требованиям, установленным к таким документам законодательством РФ.</w:t>
            </w:r>
          </w:p>
          <w:p w:rsidR="00F66DF0" w:rsidRPr="00F66DF0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F0">
              <w:rPr>
                <w:rFonts w:ascii="Times New Roman" w:hAnsi="Times New Roman" w:cs="Times New Roman"/>
                <w:sz w:val="20"/>
                <w:szCs w:val="20"/>
              </w:rPr>
              <w:t xml:space="preserve">6.3. </w:t>
            </w:r>
            <w:r w:rsidR="00F66DF0" w:rsidRPr="00F66DF0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настоящего Контракта устанавливается в размере     122 043,40 руб., что составляет 5% от начальной (максимальной) цены Контракта.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6.4. Если в качестве способа обеспечения настоящего Контракта Исполнителем избрано внесение денежных средств, Заказчик обязуется возвратить денежные средства Исполнителю не позднее 30 марта  2015 года, в случае исполнения обязатель</w:t>
            </w:r>
            <w:proofErr w:type="gram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ств в ср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ок, предусмотренный настоящим Контрактом.</w:t>
            </w:r>
          </w:p>
          <w:p w:rsidR="009F6E90" w:rsidRPr="00B80213" w:rsidRDefault="009F6E90" w:rsidP="008404C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/>
                <w:b/>
                <w:sz w:val="20"/>
                <w:szCs w:val="20"/>
              </w:rPr>
              <w:t>Срок действия Контракта. Расторжение Контракта.</w:t>
            </w:r>
          </w:p>
          <w:p w:rsidR="009F6E90" w:rsidRPr="00B80213" w:rsidRDefault="009F6E90" w:rsidP="008404C5">
            <w:pPr>
              <w:pStyle w:val="a3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Настоящий Контра</w:t>
            </w:r>
            <w:proofErr w:type="gram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кт вст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упает в силу с даты его подписания  и действует до «15» марта  2015 года,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в части исполнения Заказчиком обязательства по оплате стоимости работ  действует до полного исполнения обязательства по настоящему Контракту.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Расторжение контракта допускается по соглашению Сторон или по решению суда.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Как Заказчик, так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 вправе принять решение об одностороннем отказе от исполнения Контракта </w:t>
            </w:r>
            <w:r w:rsidRPr="00B802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7.4. Заказчик вправе потребовать расторжения Контракта в случае нарушения Исполнителем начального или конечного срока оказания услуг более чем на 5 (Пять) рабочих дней в период действия Контракта.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7.5.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вправе потребовать расторжения Контракта в случаях: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- нарушения срока выплаты авансового платежа;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- нарушения Заказчиком взятых на себя обязательств в соответствии с  настоящим Контрактом;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numPr>
                <w:ilvl w:val="0"/>
                <w:numId w:val="3"/>
              </w:numPr>
              <w:spacing w:before="360"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/>
                <w:b/>
                <w:sz w:val="20"/>
                <w:szCs w:val="20"/>
              </w:rPr>
              <w:t>Порядок разрешения споров.</w:t>
            </w:r>
          </w:p>
          <w:p w:rsidR="009F6E90" w:rsidRPr="00B80213" w:rsidRDefault="009F6E90" w:rsidP="008404C5">
            <w:pPr>
              <w:pStyle w:val="a3"/>
              <w:spacing w:before="360"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Споры и разногласия в рамках настоящего Контракта разрешаются Сторонами путем проведения переговоров в форме обмена письмами (претензионный порядок), направляемыми почтой либо курьером. Срок ответа на претензионное письмо составляет 15 (Пятнадцать) дней со дня его направления Стороне-получателю, если иное императивно не установлено законодательством Российской Федерации.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В случае невозможности разрешения споров и разногласий в порядке, указанном в настоящем разделе, заинтересованная сторона вправе обратиться в суд.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Споры и разногласия, возникающие между сторонами в рамках Контракта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Арбитражным судом Республики Коми.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9F6E9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Гарантии.</w:t>
            </w:r>
          </w:p>
          <w:p w:rsidR="009F6E90" w:rsidRPr="00B80213" w:rsidRDefault="009F6E90" w:rsidP="009F6E90">
            <w:pPr>
              <w:pStyle w:val="a3"/>
              <w:widowControl w:val="0"/>
              <w:numPr>
                <w:ilvl w:val="1"/>
                <w:numId w:val="2"/>
              </w:numPr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213">
              <w:rPr>
                <w:rFonts w:ascii="Times New Roman" w:hAnsi="Times New Roman"/>
                <w:sz w:val="20"/>
                <w:szCs w:val="20"/>
              </w:rPr>
              <w:t>Подрядчик гарантирует:</w:t>
            </w:r>
          </w:p>
          <w:p w:rsidR="009F6E90" w:rsidRPr="00B80213" w:rsidRDefault="009F6E90" w:rsidP="008404C5">
            <w:pPr>
              <w:widowControl w:val="0"/>
              <w:tabs>
                <w:tab w:val="num" w:pos="1224"/>
                <w:tab w:val="num" w:pos="2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9.1.1. Надлежащее качество используемых материалов, оборудования, конструкций, оборудования и систем, соответствие их государственным стандартам и техническим условиям. </w:t>
            </w:r>
          </w:p>
          <w:p w:rsidR="009F6E90" w:rsidRPr="00B80213" w:rsidRDefault="009F6E90" w:rsidP="008404C5">
            <w:pPr>
              <w:widowControl w:val="0"/>
              <w:tabs>
                <w:tab w:val="num" w:pos="1224"/>
                <w:tab w:val="num" w:pos="2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Возможность нормальной эксплуатации объекта на протяжении гарантийного срока, предусмотренного законом и Контрактом, и несет ответственность за отступление от них.</w:t>
            </w:r>
          </w:p>
          <w:p w:rsidR="009F6E90" w:rsidRPr="00B80213" w:rsidRDefault="009F6E90" w:rsidP="008404C5">
            <w:pPr>
              <w:widowControl w:val="0"/>
              <w:tabs>
                <w:tab w:val="num" w:pos="1224"/>
                <w:tab w:val="num" w:pos="2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9.1.2.Качество выполнения всех работ в соответствии с действующими нормами и техническими условиями.</w:t>
            </w:r>
          </w:p>
          <w:p w:rsidR="009F6E90" w:rsidRPr="00B80213" w:rsidRDefault="009F6E90" w:rsidP="008404C5">
            <w:pPr>
              <w:widowControl w:val="0"/>
              <w:tabs>
                <w:tab w:val="num" w:pos="1224"/>
                <w:tab w:val="num" w:pos="2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9.1.3.Своевременное устранение недостатков и дефектов, выявленных при приемке работ и в период гарантийного срока возможности эксплуатации Объекта, в срок, согласованный с Заказчиком. Если Подрядчик в согласованный срок не исправит некачественно выполненные работы, Заказчик вправе привлечь других лиц для исправления за соответствующую плату некачественно выполненных Подрядчиком работ. Все расходы, связанные с устранением недостатков таких работ другими лицами оплачиваются Подрядчиком.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9.1.4.Гарантийный срок возможности эксплуатации Объекта составляет 5 (пять) лет с момента подписания Сторонами акта приемки выполненных работ по форме № КС-2.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Если в период гарантийного срока возможной эксплуатации Объекта обнаружатся дефекты, препятствующие его нормальной эксплуатации, то Подрядчик обязан их устранить за свой счет и в согласованные с Заказчиком сроки. Для участия в составлении акта приемки выполненных работ, фиксирующего дефекты, согласования порядка и срока их устранения Подрядчик обязан направить своего представителя не позднее 2 дней со дня получения письменного извещения Заказчика. При отказе Подрядчика от составления или подписания акта обнаруженных дефектов, Заказчик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 односторонний акт на основе квалифицированной экспертизы, привлекаемой им за свой счет. При этом расходы Заказчика по проведению экспертизы возмещаются Подрядчиком. Гарантийный срок в этом случае продлевается соответственно на период устранения дефектов.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9.1.5.Гарантии качества распространяются на все работы, выполненные Подрядчиком по настоящему Контракту.</w:t>
            </w:r>
          </w:p>
          <w:p w:rsidR="009F6E90" w:rsidRPr="00B80213" w:rsidRDefault="009F6E90" w:rsidP="008404C5">
            <w:pPr>
              <w:widowControl w:val="0"/>
              <w:tabs>
                <w:tab w:val="num" w:pos="1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9.1.6.Указанные гарантии не распространяются на случаи преднамеренного повреждения Объекта со стороны третьих лиц.</w:t>
            </w:r>
          </w:p>
          <w:p w:rsidR="009F6E90" w:rsidRPr="00B80213" w:rsidRDefault="009F6E90" w:rsidP="008404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10. Особые условия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ab/>
              <w:t>Настоящий Контракт составлен в двух экземплярах, имеющих равную юридическую силу, по одному для каждой из Сторон.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10.2. Расторжение, изменение и дополнение настоящего Контракта считаются действительными в том случае, когда они оформлены в письменной форме и подписаны уполномоченными представителями Сторон, за исключением случаев, прямо предусмотренных настоящим Контрактом.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10.3.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может привлекать к работам субподрядчиков, за качество выполнения работ которым, несет ответственность самостоятельно.</w:t>
            </w:r>
          </w:p>
          <w:p w:rsidR="009F6E90" w:rsidRPr="00B80213" w:rsidRDefault="009F6E90" w:rsidP="008404C5">
            <w:pPr>
              <w:tabs>
                <w:tab w:val="left" w:pos="426"/>
              </w:tabs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10.4. </w:t>
            </w:r>
            <w:r w:rsidRPr="00B80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изменении реквизитов, предусмотренных разделом «Реквизиты и подписи сторон» настоящего Контракта, или любой другой информации, необходимой для исполнения настоящего Контракта, оформления документации, корректного взаимодействия между Сторонами, Сторона, в отношении которой изменилась та или иная информация, обязана уведомить об этом другую Сторону. Сторона, не уведомившая другую Сторону о соответствующих изменениях, несет риск последствий неисполнения данной обязанности.</w:t>
            </w:r>
          </w:p>
          <w:p w:rsidR="009F6E90" w:rsidRPr="00B80213" w:rsidRDefault="009F6E90" w:rsidP="008404C5">
            <w:pPr>
              <w:spacing w:before="360"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11. Реквизиты и подписи сторон</w:t>
            </w:r>
          </w:p>
          <w:p w:rsidR="00E72EEC" w:rsidRPr="00024469" w:rsidRDefault="00E72EEC" w:rsidP="00E72EEC">
            <w:pPr>
              <w:tabs>
                <w:tab w:val="left" w:pos="567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11.1. </w:t>
            </w:r>
            <w:r w:rsidRPr="0002446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"Микунь"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1116007328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111601001 </w:t>
            </w:r>
            <w:r w:rsidRPr="00E27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1051100997860</w:t>
            </w:r>
          </w:p>
          <w:p w:rsidR="00F66DF0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нахождения: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169061, Республика Коми,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икунь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2EEC" w:rsidRPr="00024469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Железнодорожная, д.21</w:t>
            </w:r>
          </w:p>
          <w:p w:rsidR="00E72EEC" w:rsidRPr="00024469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направления корреспонденции: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169061, Республика Коми,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Микунь, ул. Железнодорожная, д.21</w:t>
            </w:r>
            <w:proofErr w:type="gramEnd"/>
          </w:p>
          <w:p w:rsidR="00E72EEC" w:rsidRPr="00024469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B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>/сч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40204810200000000410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- НБ Республики Коми</w:t>
            </w:r>
          </w:p>
          <w:p w:rsidR="00E72EEC" w:rsidRPr="00024469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>/сч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048702001</w:t>
            </w:r>
          </w:p>
          <w:p w:rsidR="00E72EEC" w:rsidRPr="00024469" w:rsidRDefault="00E72EEC" w:rsidP="00E72EEC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8(82134) 32440</w:t>
            </w:r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 E-</w:t>
            </w:r>
            <w:proofErr w:type="spellStart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2446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gpmikun@mail.ru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8404C5">
            <w:pPr>
              <w:tabs>
                <w:tab w:val="left" w:pos="567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11.2.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</w:t>
            </w: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ООО «</w:t>
            </w:r>
            <w:proofErr w:type="spellStart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>АртСиТи</w:t>
            </w:r>
            <w:proofErr w:type="spellEnd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1101062485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784201001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1071101001333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191000 </w:t>
            </w:r>
            <w:proofErr w:type="spellStart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>анкт</w:t>
            </w:r>
            <w:proofErr w:type="spellEnd"/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>-Петербург проспект Лиговский дом 50м</w:t>
            </w:r>
            <w:r w:rsidR="00F66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офис </w:t>
            </w:r>
            <w:r w:rsidR="00E7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87 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направления корреспонденции: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Р/счет:</w:t>
            </w:r>
            <w:r w:rsidR="00B92C39" w:rsidRPr="00B92C39">
              <w:rPr>
                <w:rFonts w:ascii="Times New Roman" w:hAnsi="Times New Roman" w:cs="Times New Roman"/>
                <w:sz w:val="20"/>
                <w:szCs w:val="20"/>
              </w:rPr>
              <w:t xml:space="preserve">40702810022210000196 </w:t>
            </w:r>
            <w:r w:rsidR="00B92C39">
              <w:rPr>
                <w:rFonts w:ascii="Times New Roman" w:hAnsi="Times New Roman" w:cs="Times New Roman"/>
                <w:sz w:val="20"/>
                <w:szCs w:val="20"/>
              </w:rPr>
              <w:t>в Филиал «С-Петербургская дирекция ОАО «</w:t>
            </w:r>
            <w:proofErr w:type="spellStart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Уралсиб</w:t>
            </w:r>
            <w:proofErr w:type="spellEnd"/>
            <w:r w:rsidR="00B92C39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-Петербурге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/счет: </w:t>
            </w:r>
            <w:r w:rsidR="00B92C39">
              <w:rPr>
                <w:rFonts w:ascii="Times New Roman" w:hAnsi="Times New Roman" w:cs="Times New Roman"/>
                <w:sz w:val="20"/>
                <w:szCs w:val="20"/>
              </w:rPr>
              <w:t xml:space="preserve">30101810800000000706 </w:t>
            </w: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 xml:space="preserve"> БИК:</w:t>
            </w:r>
            <w:r w:rsidR="00B92C39">
              <w:rPr>
                <w:rFonts w:ascii="Times New Roman" w:hAnsi="Times New Roman" w:cs="Times New Roman"/>
                <w:sz w:val="20"/>
                <w:szCs w:val="20"/>
              </w:rPr>
              <w:t xml:space="preserve"> 044030706</w:t>
            </w:r>
          </w:p>
          <w:p w:rsidR="00B92C39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Телефон: 8(</w:t>
            </w:r>
            <w:r w:rsidR="00E72EEC">
              <w:rPr>
                <w:rFonts w:ascii="Times New Roman" w:hAnsi="Times New Roman" w:cs="Times New Roman"/>
                <w:sz w:val="20"/>
                <w:szCs w:val="20"/>
              </w:rPr>
              <w:t>962)7218712</w:t>
            </w:r>
            <w:r w:rsidR="00F66DF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F66D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66DF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92C39">
              <w:rPr>
                <w:rFonts w:ascii="Times New Roman" w:hAnsi="Times New Roman" w:cs="Times New Roman"/>
                <w:sz w:val="20"/>
                <w:szCs w:val="20"/>
              </w:rPr>
              <w:t>ыктывкаре</w:t>
            </w:r>
            <w:proofErr w:type="spellEnd"/>
            <w:r w:rsidR="00B92C39">
              <w:rPr>
                <w:rFonts w:ascii="Times New Roman" w:hAnsi="Times New Roman" w:cs="Times New Roman"/>
                <w:sz w:val="20"/>
                <w:szCs w:val="20"/>
              </w:rPr>
              <w:t xml:space="preserve"> 88212251782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B802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E72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artcity</w:t>
            </w:r>
            <w:proofErr w:type="spellEnd"/>
            <w:r w:rsidR="00E72EEC" w:rsidRPr="00E72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92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spb</w:t>
            </w:r>
            <w:proofErr w:type="spellEnd"/>
            <w:r w:rsidR="00B92C39" w:rsidRPr="00B92C39">
              <w:rPr>
                <w:rFonts w:ascii="Times New Roman" w:hAnsi="Times New Roman" w:cs="Times New Roman"/>
                <w:sz w:val="20"/>
                <w:szCs w:val="20"/>
              </w:rPr>
              <w:t>07@</w:t>
            </w:r>
            <w:proofErr w:type="spellStart"/>
            <w:r w:rsidR="00B92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="00B92C39" w:rsidRPr="00B92C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C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E90" w:rsidRPr="00B80213" w:rsidRDefault="009F6E90" w:rsidP="008404C5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4313"/>
            </w:tblGrid>
            <w:tr w:rsidR="009F6E90" w:rsidRPr="00B80213" w:rsidTr="008404C5">
              <w:tc>
                <w:tcPr>
                  <w:tcW w:w="4961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02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Подрядчик</w:t>
                  </w:r>
                </w:p>
              </w:tc>
            </w:tr>
            <w:tr w:rsidR="009F6E90" w:rsidRPr="00B80213" w:rsidTr="008404C5">
              <w:tc>
                <w:tcPr>
                  <w:tcW w:w="4961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16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16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6E90" w:rsidRPr="00B80213" w:rsidTr="008404C5">
              <w:tc>
                <w:tcPr>
                  <w:tcW w:w="4961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36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9F6E90" w:rsidRPr="00B80213" w:rsidRDefault="009F6E90" w:rsidP="008404C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F6E90" w:rsidRPr="00B80213" w:rsidRDefault="009F6E90" w:rsidP="0084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Default="009F6E90" w:rsidP="0084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6E90" w:rsidRPr="00B80213" w:rsidRDefault="009F6E90" w:rsidP="009F6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  <w:r w:rsidRPr="0005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F6E90" w:rsidRPr="00B80213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Pr="00B80213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Pr="00B80213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Pr="00B80213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Pr="00B80213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Default="009F6E90" w:rsidP="008404C5">
            <w:pPr>
              <w:pageBreakBefore/>
              <w:widowControl w:val="0"/>
              <w:suppressLineNumbers/>
              <w:tabs>
                <w:tab w:val="left" w:pos="0"/>
                <w:tab w:val="center" w:pos="5102"/>
              </w:tabs>
              <w:suppressAutoHyphens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  <w:p w:rsidR="009F6E90" w:rsidRPr="00B80213" w:rsidRDefault="009F6E90" w:rsidP="008404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E90" w:rsidRPr="00B80213" w:rsidRDefault="009F6E90" w:rsidP="008404C5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7DCF" w:rsidRDefault="00197DCF"/>
    <w:sectPr w:rsidR="0019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AE6"/>
    <w:multiLevelType w:val="hybridMultilevel"/>
    <w:tmpl w:val="DEEEDD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1333"/>
    <w:multiLevelType w:val="hybridMultilevel"/>
    <w:tmpl w:val="66926B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47CD7"/>
    <w:multiLevelType w:val="multilevel"/>
    <w:tmpl w:val="F266CA1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8D"/>
    <w:rsid w:val="00147C8D"/>
    <w:rsid w:val="00197DCF"/>
    <w:rsid w:val="006A0C5F"/>
    <w:rsid w:val="009F6E90"/>
    <w:rsid w:val="00B92C39"/>
    <w:rsid w:val="00E72EEC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Заинчковская</cp:lastModifiedBy>
  <cp:revision>3</cp:revision>
  <dcterms:created xsi:type="dcterms:W3CDTF">2015-01-20T13:21:00Z</dcterms:created>
  <dcterms:modified xsi:type="dcterms:W3CDTF">2015-01-21T10:29:00Z</dcterms:modified>
</cp:coreProperties>
</file>